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C2621" w14:textId="591AB5FB" w:rsidR="00291C63" w:rsidRPr="00232BD2" w:rsidRDefault="00291C63" w:rsidP="009674F7">
      <w:pPr>
        <w:pStyle w:val="EinfAbs"/>
        <w:spacing w:line="283" w:lineRule="auto"/>
        <w:ind w:left="-284" w:right="-283"/>
        <w:rPr>
          <w:rFonts w:ascii="Arial" w:hAnsi="Arial" w:cs="Arial"/>
          <w:b/>
          <w:bCs/>
          <w:spacing w:val="-2"/>
          <w:sz w:val="22"/>
          <w:szCs w:val="22"/>
        </w:rPr>
      </w:pPr>
      <w:r w:rsidRPr="00232BD2">
        <w:rPr>
          <w:rFonts w:ascii="Arial" w:hAnsi="Arial" w:cs="Arial"/>
          <w:b/>
          <w:bCs/>
          <w:spacing w:val="-2"/>
          <w:sz w:val="22"/>
          <w:szCs w:val="22"/>
        </w:rPr>
        <w:t xml:space="preserve">Leitfaden zur Umsetzung der EPBD </w:t>
      </w:r>
    </w:p>
    <w:p w14:paraId="165B3526" w14:textId="3DCEDC94" w:rsidR="00342A92" w:rsidRPr="00232BD2" w:rsidRDefault="00342A92" w:rsidP="009674F7">
      <w:pPr>
        <w:pStyle w:val="EinfAbs"/>
        <w:spacing w:line="283" w:lineRule="auto"/>
        <w:ind w:left="-284" w:right="-283"/>
        <w:rPr>
          <w:rFonts w:ascii="Arial" w:hAnsi="Arial" w:cs="Arial"/>
          <w:spacing w:val="-2"/>
          <w:sz w:val="22"/>
          <w:szCs w:val="22"/>
        </w:rPr>
      </w:pPr>
      <w:r w:rsidRPr="00232BD2">
        <w:rPr>
          <w:rFonts w:ascii="Arial" w:hAnsi="Arial" w:cs="Arial"/>
          <w:spacing w:val="-2"/>
          <w:sz w:val="22"/>
          <w:szCs w:val="22"/>
        </w:rPr>
        <w:t>EU-Kommission unterstützt Anforderung</w:t>
      </w:r>
      <w:r w:rsidR="00A37B8D">
        <w:rPr>
          <w:rFonts w:ascii="Arial" w:hAnsi="Arial" w:cs="Arial"/>
          <w:spacing w:val="-2"/>
          <w:sz w:val="22"/>
          <w:szCs w:val="22"/>
        </w:rPr>
        <w:t>en</w:t>
      </w:r>
      <w:r w:rsidRPr="00232BD2">
        <w:rPr>
          <w:rFonts w:ascii="Arial" w:hAnsi="Arial" w:cs="Arial"/>
          <w:spacing w:val="-2"/>
          <w:sz w:val="22"/>
          <w:szCs w:val="22"/>
        </w:rPr>
        <w:t xml:space="preserve"> für bessere Bedingungen in Innenräumen</w:t>
      </w:r>
    </w:p>
    <w:p w14:paraId="5DDF8181" w14:textId="77777777" w:rsidR="00A43821" w:rsidRPr="00083581" w:rsidRDefault="00A43821" w:rsidP="009674F7">
      <w:pPr>
        <w:pStyle w:val="EinfAbs"/>
        <w:spacing w:line="283" w:lineRule="auto"/>
        <w:ind w:left="-284" w:right="-283"/>
        <w:rPr>
          <w:rFonts w:ascii="Arial" w:hAnsi="Arial" w:cs="Arial"/>
          <w:sz w:val="22"/>
          <w:szCs w:val="22"/>
        </w:rPr>
      </w:pPr>
    </w:p>
    <w:p w14:paraId="7315DC11" w14:textId="260A9578" w:rsidR="00342A92" w:rsidRPr="00232BD2" w:rsidRDefault="00601F45" w:rsidP="009674F7">
      <w:pPr>
        <w:pStyle w:val="EinfAbs"/>
        <w:spacing w:line="283" w:lineRule="auto"/>
        <w:ind w:left="-284" w:right="-283"/>
        <w:rPr>
          <w:rFonts w:ascii="Arial" w:hAnsi="Arial" w:cs="Arial"/>
          <w:sz w:val="22"/>
          <w:szCs w:val="22"/>
        </w:rPr>
      </w:pPr>
      <w:r w:rsidRPr="00232BD2">
        <w:rPr>
          <w:rFonts w:ascii="Arial" w:hAnsi="Arial" w:cs="Arial"/>
          <w:b/>
          <w:bCs/>
          <w:spacing w:val="-2"/>
          <w:sz w:val="22"/>
          <w:szCs w:val="22"/>
        </w:rPr>
        <w:t>Ludwigsburg</w:t>
      </w:r>
      <w:r w:rsidR="00FA253D" w:rsidRPr="00232BD2">
        <w:rPr>
          <w:rFonts w:ascii="Arial" w:hAnsi="Arial" w:cs="Arial"/>
          <w:b/>
          <w:bCs/>
          <w:spacing w:val="-2"/>
          <w:sz w:val="22"/>
          <w:szCs w:val="22"/>
        </w:rPr>
        <w:t>,</w:t>
      </w:r>
      <w:r w:rsidR="0028071E" w:rsidRPr="00232BD2">
        <w:rPr>
          <w:rFonts w:ascii="Arial" w:hAnsi="Arial" w:cs="Arial"/>
          <w:b/>
          <w:bCs/>
          <w:spacing w:val="-2"/>
          <w:sz w:val="22"/>
          <w:szCs w:val="22"/>
        </w:rPr>
        <w:t xml:space="preserve"> </w:t>
      </w:r>
      <w:r w:rsidR="00284247" w:rsidRPr="00A379DE">
        <w:rPr>
          <w:rFonts w:ascii="Arial" w:hAnsi="Arial" w:cs="Arial"/>
          <w:b/>
          <w:bCs/>
          <w:spacing w:val="-2"/>
          <w:sz w:val="22"/>
          <w:szCs w:val="22"/>
        </w:rPr>
        <w:t>0</w:t>
      </w:r>
      <w:r w:rsidR="00907567" w:rsidRPr="00A379DE">
        <w:rPr>
          <w:rFonts w:ascii="Arial" w:hAnsi="Arial" w:cs="Arial"/>
          <w:b/>
          <w:bCs/>
          <w:spacing w:val="-2"/>
          <w:sz w:val="22"/>
          <w:szCs w:val="22"/>
        </w:rPr>
        <w:t>9</w:t>
      </w:r>
      <w:r w:rsidR="009C5096" w:rsidRPr="00A379DE">
        <w:rPr>
          <w:rFonts w:ascii="Arial" w:hAnsi="Arial" w:cs="Arial"/>
          <w:b/>
          <w:bCs/>
          <w:spacing w:val="-2"/>
          <w:sz w:val="22"/>
          <w:szCs w:val="22"/>
        </w:rPr>
        <w:t>.</w:t>
      </w:r>
      <w:r w:rsidR="000D07C0" w:rsidRPr="00A379DE">
        <w:rPr>
          <w:rFonts w:ascii="Arial" w:hAnsi="Arial" w:cs="Arial"/>
          <w:b/>
          <w:bCs/>
          <w:spacing w:val="-2"/>
          <w:sz w:val="22"/>
          <w:szCs w:val="22"/>
        </w:rPr>
        <w:t>07</w:t>
      </w:r>
      <w:r w:rsidR="00284247" w:rsidRPr="00A379DE">
        <w:rPr>
          <w:rFonts w:ascii="Arial" w:hAnsi="Arial" w:cs="Arial"/>
          <w:b/>
          <w:bCs/>
          <w:spacing w:val="-2"/>
          <w:sz w:val="22"/>
          <w:szCs w:val="22"/>
        </w:rPr>
        <w:t>.2025</w:t>
      </w:r>
      <w:r w:rsidR="00A43821" w:rsidRPr="00232BD2">
        <w:rPr>
          <w:rFonts w:ascii="Arial" w:hAnsi="Arial" w:cs="Arial"/>
          <w:spacing w:val="-2"/>
          <w:sz w:val="22"/>
          <w:szCs w:val="22"/>
        </w:rPr>
        <w:t xml:space="preserve"> – </w:t>
      </w:r>
      <w:r w:rsidR="00342A92" w:rsidRPr="00232BD2">
        <w:rPr>
          <w:rFonts w:ascii="Arial" w:hAnsi="Arial" w:cs="Arial"/>
          <w:sz w:val="22"/>
          <w:szCs w:val="22"/>
        </w:rPr>
        <w:t xml:space="preserve">Die Europäische Kommission hat Leitlinien zur Umsetzung der Richtlinie über die Gesamtenergieeffizienz von Gebäuden (EPBD) in Bezug auf die Technische Gebäudeausrüstung (TGA) veröffentlicht. Der Fachverband Gebäude-Klima e. V. (FGK) begrüßt diese Veröffentlichung, insbesondere die Hinweise zur Innenraumqualität (IEQ). Der ergänzende Leitfaden zur </w:t>
      </w:r>
      <w:hyperlink r:id="rId7" w:history="1">
        <w:r w:rsidR="00342A92" w:rsidRPr="00232BD2">
          <w:rPr>
            <w:rStyle w:val="Hyperlink"/>
            <w:rFonts w:ascii="Arial" w:hAnsi="Arial" w:cs="Arial"/>
            <w:sz w:val="22"/>
            <w:szCs w:val="22"/>
          </w:rPr>
          <w:t>EPBD 2024/1275</w:t>
        </w:r>
      </w:hyperlink>
      <w:r w:rsidR="00342A92" w:rsidRPr="00232BD2">
        <w:rPr>
          <w:rFonts w:ascii="Arial" w:hAnsi="Arial" w:cs="Arial"/>
          <w:sz w:val="22"/>
          <w:szCs w:val="22"/>
        </w:rPr>
        <w:t xml:space="preserve">, </w:t>
      </w:r>
      <w:hyperlink r:id="rId8" w:history="1">
        <w:r w:rsidR="00342A92" w:rsidRPr="00232BD2">
          <w:rPr>
            <w:rStyle w:val="Hyperlink"/>
            <w:rFonts w:ascii="Arial" w:hAnsi="Arial" w:cs="Arial"/>
            <w:sz w:val="22"/>
            <w:szCs w:val="22"/>
          </w:rPr>
          <w:t>Annex 10</w:t>
        </w:r>
      </w:hyperlink>
      <w:r w:rsidR="00342A92" w:rsidRPr="00232BD2">
        <w:rPr>
          <w:rFonts w:ascii="Arial" w:hAnsi="Arial" w:cs="Arial"/>
          <w:sz w:val="22"/>
          <w:szCs w:val="22"/>
        </w:rPr>
        <w:t xml:space="preserve"> (Gebäudetechnische Systeme, Raumluftqualität und Inspektionen) vom 30. Juni 2025 enthält wertvolle Hinweise für die Auslegung und Umsetzung der neuen EPBD. Die Leitlinien sollen den Mitgliedsstaaten praktische Informationen und technisches Hintergrundwissen für die Umsetzung der Richtlinie bieten. Die Innenraumqualität – Licht, Luft, </w:t>
      </w:r>
      <w:r w:rsidR="009674F7">
        <w:rPr>
          <w:rFonts w:ascii="Arial" w:hAnsi="Arial" w:cs="Arial"/>
          <w:sz w:val="22"/>
          <w:szCs w:val="22"/>
        </w:rPr>
        <w:t>Akustik</w:t>
      </w:r>
      <w:r w:rsidR="00342A92" w:rsidRPr="00232BD2">
        <w:rPr>
          <w:rFonts w:ascii="Arial" w:hAnsi="Arial" w:cs="Arial"/>
          <w:sz w:val="22"/>
          <w:szCs w:val="22"/>
        </w:rPr>
        <w:t xml:space="preserve"> etc. – wirkt sich erheblich auf die Menschen im Gebäude aus. Schadstoffe in der Raumluft und eine unangemessene Temperatur oder Luftfeuchtigkeit können das Wohlbefinden und die Produktivität erheblich beeinträchtigen. Zudem sind Gesundheitsprobleme z. B. aufgrund von Hitzestress oder Schimmelproblemen möglich oder auch ein erhöhtes Risiko für die Übertragung von Krankheitserregern durch die Luft.</w:t>
      </w:r>
    </w:p>
    <w:p w14:paraId="21987BDB" w14:textId="77777777" w:rsidR="00342A92" w:rsidRPr="00232BD2" w:rsidRDefault="00342A92" w:rsidP="009674F7">
      <w:pPr>
        <w:pStyle w:val="EinfAbs"/>
        <w:spacing w:line="283" w:lineRule="auto"/>
        <w:ind w:left="-284" w:right="-283"/>
        <w:rPr>
          <w:rFonts w:ascii="Arial" w:hAnsi="Arial" w:cs="Arial"/>
          <w:sz w:val="22"/>
          <w:szCs w:val="22"/>
        </w:rPr>
      </w:pPr>
    </w:p>
    <w:p w14:paraId="28A8729C" w14:textId="75DFC2BE" w:rsidR="00342A92" w:rsidRPr="00232BD2" w:rsidRDefault="00342A92" w:rsidP="009674F7">
      <w:pPr>
        <w:pStyle w:val="EinfAbs"/>
        <w:spacing w:line="283" w:lineRule="auto"/>
        <w:ind w:left="-284" w:right="-283"/>
        <w:rPr>
          <w:rFonts w:ascii="Arial" w:hAnsi="Arial" w:cs="Arial"/>
          <w:sz w:val="22"/>
          <w:szCs w:val="22"/>
        </w:rPr>
      </w:pPr>
      <w:r w:rsidRPr="00232BD2">
        <w:rPr>
          <w:rFonts w:ascii="Arial" w:hAnsi="Arial" w:cs="Arial"/>
          <w:sz w:val="22"/>
          <w:szCs w:val="22"/>
        </w:rPr>
        <w:t>Die Mitgliedstaaten sind verpflichtet, die EPBD bis Mai 2026 in nationales Recht umzusetzen. Dazu gehört unter anderem, Mindestanforderungen für die IEQ in den Bereichen thermischer Komfort und Innenraumluftqualität festzulegen. Auch bei de</w:t>
      </w:r>
      <w:r w:rsidR="001000A8" w:rsidRPr="00232BD2">
        <w:rPr>
          <w:rFonts w:ascii="Arial" w:hAnsi="Arial" w:cs="Arial"/>
          <w:sz w:val="22"/>
          <w:szCs w:val="22"/>
        </w:rPr>
        <w:t>n</w:t>
      </w:r>
      <w:r w:rsidRPr="00232BD2">
        <w:rPr>
          <w:rFonts w:ascii="Arial" w:hAnsi="Arial" w:cs="Arial"/>
          <w:sz w:val="22"/>
          <w:szCs w:val="22"/>
        </w:rPr>
        <w:t xml:space="preserve"> Anforderungen an die Gesamtenergieeffizienz von Gebäuden ist die Innenraumqualität zu berücksichtigen, um z. B. eine angemessene Belüftung sicherzustellen. Die Energieeinsparung darf nicht gegen die Gesundheit der Nutzer ausgespielt werden. Vorzugsweise sollten Lösungen eingesetzt werden, die für gute Bedingungen im Raum sorgen und gleichzeitig die Energieeffizienz verbessern. Mit einer Lüftung mit Bedarfsregelung und/oder Wärmerückgewinnung lässt sich beispielsweise eine hohe Raumluftqualität sicherstellen und gleichzeitig der Heizwärmebedarf verringern. </w:t>
      </w:r>
    </w:p>
    <w:p w14:paraId="761799B9" w14:textId="2981EAA1" w:rsidR="001000A8" w:rsidRPr="00232BD2" w:rsidRDefault="001000A8" w:rsidP="009674F7">
      <w:pPr>
        <w:pStyle w:val="EinfAbs"/>
        <w:spacing w:line="283" w:lineRule="auto"/>
        <w:ind w:left="-284" w:right="-283"/>
        <w:rPr>
          <w:rFonts w:ascii="Arial" w:hAnsi="Arial" w:cs="Arial"/>
          <w:sz w:val="22"/>
          <w:szCs w:val="22"/>
        </w:rPr>
      </w:pPr>
    </w:p>
    <w:p w14:paraId="30D62377" w14:textId="1AF794A6" w:rsidR="00292157" w:rsidRPr="000A6C2D" w:rsidRDefault="00342A92" w:rsidP="009674F7">
      <w:pPr>
        <w:pStyle w:val="EinfAbs"/>
        <w:spacing w:line="283" w:lineRule="auto"/>
        <w:ind w:left="-284" w:right="-283"/>
        <w:rPr>
          <w:rFonts w:ascii="Arial" w:hAnsi="Arial" w:cs="Arial"/>
          <w:sz w:val="22"/>
          <w:szCs w:val="22"/>
        </w:rPr>
      </w:pPr>
      <w:r w:rsidRPr="00232BD2">
        <w:rPr>
          <w:rFonts w:ascii="Arial" w:hAnsi="Arial" w:cs="Arial"/>
          <w:sz w:val="22"/>
          <w:szCs w:val="22"/>
        </w:rPr>
        <w:t xml:space="preserve">Neue Nichtwohngebäude sind gemäß EPBD zudem mit Mess- und Steuergeräten zur Überwachung und Regulierung der Raumluftqualität auszustatten. Die EU-Kommission schlägt vor, </w:t>
      </w:r>
      <w:r w:rsidR="001000A8" w:rsidRPr="00232BD2">
        <w:rPr>
          <w:rFonts w:ascii="Arial" w:hAnsi="Arial" w:cs="Arial"/>
          <w:sz w:val="22"/>
          <w:szCs w:val="22"/>
        </w:rPr>
        <w:t xml:space="preserve">in diesen Gebäuden </w:t>
      </w:r>
      <w:r w:rsidRPr="00232BD2">
        <w:rPr>
          <w:rFonts w:ascii="Arial" w:hAnsi="Arial" w:cs="Arial"/>
          <w:sz w:val="22"/>
          <w:szCs w:val="22"/>
        </w:rPr>
        <w:t>insbesondere CO</w:t>
      </w:r>
      <w:r w:rsidRPr="00232BD2">
        <w:rPr>
          <w:rFonts w:ascii="Arial" w:hAnsi="Arial" w:cs="Arial"/>
          <w:sz w:val="22"/>
          <w:szCs w:val="22"/>
          <w:vertAlign w:val="subscript"/>
        </w:rPr>
        <w:t>2</w:t>
      </w:r>
      <w:r w:rsidRPr="00232BD2">
        <w:rPr>
          <w:rFonts w:ascii="Arial" w:hAnsi="Arial" w:cs="Arial"/>
          <w:sz w:val="22"/>
          <w:szCs w:val="22"/>
        </w:rPr>
        <w:t xml:space="preserve"> als Indikator für die Belüftung kontinuierlich zu überwachen und gegebenenfalls die Feinstaubbelastung (PM2,5) zu messen. </w:t>
      </w:r>
      <w:r w:rsidR="001000A8" w:rsidRPr="00232BD2">
        <w:rPr>
          <w:rFonts w:ascii="Arial" w:hAnsi="Arial" w:cs="Arial"/>
          <w:sz w:val="22"/>
          <w:szCs w:val="22"/>
        </w:rPr>
        <w:t xml:space="preserve">Die so erfassten Daten ermöglichen, den Betrieb </w:t>
      </w:r>
      <w:r w:rsidRPr="00232BD2">
        <w:rPr>
          <w:rFonts w:ascii="Arial" w:hAnsi="Arial" w:cs="Arial"/>
          <w:sz w:val="22"/>
          <w:szCs w:val="22"/>
        </w:rPr>
        <w:t>von Lüftungsanlagen</w:t>
      </w:r>
      <w:r w:rsidR="00E9096D" w:rsidRPr="00232BD2">
        <w:rPr>
          <w:rFonts w:ascii="Arial" w:hAnsi="Arial" w:cs="Arial"/>
          <w:sz w:val="22"/>
          <w:szCs w:val="22"/>
        </w:rPr>
        <w:t xml:space="preserve"> </w:t>
      </w:r>
      <w:r w:rsidR="001000A8" w:rsidRPr="00232BD2">
        <w:rPr>
          <w:rFonts w:ascii="Arial" w:hAnsi="Arial" w:cs="Arial"/>
          <w:sz w:val="22"/>
          <w:szCs w:val="22"/>
        </w:rPr>
        <w:t>automatisiert an den aktuellen Bedarf anzupassen</w:t>
      </w:r>
      <w:r w:rsidRPr="00232BD2">
        <w:rPr>
          <w:rFonts w:ascii="Arial" w:hAnsi="Arial" w:cs="Arial"/>
          <w:sz w:val="22"/>
          <w:szCs w:val="22"/>
        </w:rPr>
        <w:t>. Bei Wohngebäuden können die Mitgliedstaaten in diesem Punkt frei entscheiden. Die EU-Kommission schlägt die Überwachung des CO</w:t>
      </w:r>
      <w:r w:rsidRPr="00232BD2">
        <w:rPr>
          <w:rFonts w:ascii="Arial" w:hAnsi="Arial" w:cs="Arial"/>
          <w:sz w:val="22"/>
          <w:szCs w:val="22"/>
          <w:vertAlign w:val="subscript"/>
        </w:rPr>
        <w:t>2</w:t>
      </w:r>
      <w:r w:rsidRPr="00232BD2">
        <w:rPr>
          <w:rFonts w:ascii="Arial" w:hAnsi="Arial" w:cs="Arial"/>
          <w:sz w:val="22"/>
          <w:szCs w:val="22"/>
        </w:rPr>
        <w:t>-Gehalts in Wohnräumen und der relativen Luftfeuchtigkeit in „Feuchträumen“ vor.</w:t>
      </w:r>
      <w:r w:rsidR="001000A8" w:rsidRPr="00232BD2">
        <w:rPr>
          <w:rFonts w:ascii="Arial" w:hAnsi="Arial" w:cs="Arial"/>
          <w:sz w:val="22"/>
          <w:szCs w:val="22"/>
        </w:rPr>
        <w:t xml:space="preserve"> </w:t>
      </w:r>
      <w:r w:rsidR="00291C63" w:rsidRPr="00232BD2">
        <w:rPr>
          <w:rFonts w:ascii="Arial" w:hAnsi="Arial" w:cs="Arial"/>
          <w:sz w:val="22"/>
          <w:szCs w:val="22"/>
        </w:rPr>
        <w:t>Der</w:t>
      </w:r>
      <w:r w:rsidR="001000A8" w:rsidRPr="00232BD2">
        <w:rPr>
          <w:rFonts w:ascii="Arial" w:hAnsi="Arial" w:cs="Arial"/>
          <w:sz w:val="22"/>
          <w:szCs w:val="22"/>
        </w:rPr>
        <w:t xml:space="preserve"> FGK </w:t>
      </w:r>
      <w:r w:rsidR="00291C63" w:rsidRPr="00232BD2">
        <w:rPr>
          <w:rFonts w:ascii="Arial" w:hAnsi="Arial" w:cs="Arial"/>
          <w:sz w:val="22"/>
          <w:szCs w:val="22"/>
        </w:rPr>
        <w:t xml:space="preserve">empfiehlt, </w:t>
      </w:r>
      <w:r w:rsidR="001000A8" w:rsidRPr="00232BD2">
        <w:rPr>
          <w:rFonts w:ascii="Arial" w:hAnsi="Arial" w:cs="Arial"/>
          <w:sz w:val="22"/>
          <w:szCs w:val="22"/>
        </w:rPr>
        <w:t xml:space="preserve">sowohl in Wohn- als auch in Nichtwohngebäuden </w:t>
      </w:r>
      <w:r w:rsidR="00291C63" w:rsidRPr="00232BD2">
        <w:rPr>
          <w:rFonts w:ascii="Arial" w:hAnsi="Arial" w:cs="Arial"/>
          <w:sz w:val="22"/>
          <w:szCs w:val="22"/>
        </w:rPr>
        <w:t xml:space="preserve">mit </w:t>
      </w:r>
      <w:r w:rsidR="001000A8" w:rsidRPr="00232BD2">
        <w:rPr>
          <w:rFonts w:ascii="Arial" w:hAnsi="Arial" w:cs="Arial"/>
          <w:sz w:val="22"/>
          <w:szCs w:val="22"/>
        </w:rPr>
        <w:t>bedarfsgeregelte</w:t>
      </w:r>
      <w:r w:rsidR="00291C63" w:rsidRPr="00232BD2">
        <w:rPr>
          <w:rFonts w:ascii="Arial" w:hAnsi="Arial" w:cs="Arial"/>
          <w:sz w:val="22"/>
          <w:szCs w:val="22"/>
        </w:rPr>
        <w:t>n</w:t>
      </w:r>
      <w:r w:rsidR="001000A8" w:rsidRPr="00232BD2">
        <w:rPr>
          <w:rFonts w:ascii="Arial" w:hAnsi="Arial" w:cs="Arial"/>
          <w:sz w:val="22"/>
          <w:szCs w:val="22"/>
        </w:rPr>
        <w:t xml:space="preserve"> Lüftungssysteme</w:t>
      </w:r>
      <w:r w:rsidR="00291C63" w:rsidRPr="00232BD2">
        <w:rPr>
          <w:rFonts w:ascii="Arial" w:hAnsi="Arial" w:cs="Arial"/>
          <w:sz w:val="22"/>
          <w:szCs w:val="22"/>
        </w:rPr>
        <w:t>n</w:t>
      </w:r>
      <w:r w:rsidR="001000A8" w:rsidRPr="00232BD2">
        <w:rPr>
          <w:rFonts w:ascii="Arial" w:hAnsi="Arial" w:cs="Arial"/>
          <w:sz w:val="22"/>
          <w:szCs w:val="22"/>
        </w:rPr>
        <w:t xml:space="preserve"> </w:t>
      </w:r>
      <w:r w:rsidR="00CD030D" w:rsidRPr="00232BD2">
        <w:rPr>
          <w:rFonts w:ascii="Arial" w:hAnsi="Arial" w:cs="Arial"/>
          <w:sz w:val="22"/>
          <w:szCs w:val="22"/>
        </w:rPr>
        <w:t>den erforderlichen Luftaustausch automatisch sicher</w:t>
      </w:r>
      <w:r w:rsidR="00291C63" w:rsidRPr="00232BD2">
        <w:rPr>
          <w:rFonts w:ascii="Arial" w:hAnsi="Arial" w:cs="Arial"/>
          <w:sz w:val="22"/>
          <w:szCs w:val="22"/>
        </w:rPr>
        <w:t>zu</w:t>
      </w:r>
      <w:r w:rsidR="00CD030D" w:rsidRPr="00232BD2">
        <w:rPr>
          <w:rFonts w:ascii="Arial" w:hAnsi="Arial" w:cs="Arial"/>
          <w:sz w:val="22"/>
          <w:szCs w:val="22"/>
        </w:rPr>
        <w:t>stellen.</w:t>
      </w:r>
      <w:r w:rsidR="00CD030D" w:rsidRPr="000A6C2D">
        <w:rPr>
          <w:rFonts w:ascii="Arial" w:hAnsi="Arial" w:cs="Arial"/>
          <w:sz w:val="22"/>
          <w:szCs w:val="22"/>
        </w:rPr>
        <w:t xml:space="preserve"> </w:t>
      </w:r>
    </w:p>
    <w:p w14:paraId="38016516" w14:textId="547E37F5" w:rsidR="00342A92" w:rsidRDefault="00342A92" w:rsidP="009674F7">
      <w:pPr>
        <w:pStyle w:val="EinfAbs"/>
        <w:spacing w:line="283" w:lineRule="auto"/>
        <w:ind w:left="-284" w:right="-283"/>
        <w:rPr>
          <w:rFonts w:ascii="Arial" w:hAnsi="Arial" w:cs="Arial"/>
          <w:sz w:val="22"/>
          <w:szCs w:val="22"/>
        </w:rPr>
      </w:pPr>
    </w:p>
    <w:p w14:paraId="7EF42CE0" w14:textId="77777777" w:rsidR="00A43821" w:rsidRPr="00AF6712" w:rsidRDefault="00A43821" w:rsidP="009674F7">
      <w:pPr>
        <w:pStyle w:val="EinfAbs"/>
        <w:spacing w:line="283" w:lineRule="auto"/>
        <w:ind w:left="-284"/>
        <w:rPr>
          <w:rFonts w:ascii="Arial" w:hAnsi="Arial" w:cs="Arial"/>
          <w:sz w:val="22"/>
          <w:szCs w:val="22"/>
        </w:rPr>
      </w:pPr>
    </w:p>
    <w:p w14:paraId="786A8555" w14:textId="44D05389" w:rsidR="00FA253D" w:rsidRPr="00852E4A" w:rsidRDefault="00FA253D" w:rsidP="00A64CA3">
      <w:pPr>
        <w:pStyle w:val="EinfAbs"/>
        <w:spacing w:line="283" w:lineRule="auto"/>
        <w:ind w:left="-284"/>
        <w:rPr>
          <w:rFonts w:ascii="Arial" w:hAnsi="Arial" w:cs="Arial"/>
          <w:sz w:val="22"/>
          <w:szCs w:val="22"/>
        </w:rPr>
      </w:pPr>
      <w:r w:rsidRPr="00852E4A">
        <w:rPr>
          <w:rFonts w:ascii="Arial" w:hAnsi="Arial" w:cs="Arial"/>
          <w:sz w:val="22"/>
          <w:szCs w:val="22"/>
        </w:rPr>
        <w:lastRenderedPageBreak/>
        <w:t>Weitere Pressemitteilungen</w:t>
      </w:r>
      <w:r w:rsidR="00A64CA3">
        <w:rPr>
          <w:rFonts w:ascii="Arial" w:hAnsi="Arial" w:cs="Arial"/>
          <w:sz w:val="22"/>
          <w:szCs w:val="22"/>
        </w:rPr>
        <w:t xml:space="preserve"> des </w:t>
      </w:r>
      <w:r w:rsidR="00A64CA3" w:rsidRPr="00A64CA3">
        <w:rPr>
          <w:rFonts w:ascii="Arial" w:hAnsi="Arial" w:cs="Arial"/>
          <w:sz w:val="22"/>
          <w:szCs w:val="22"/>
        </w:rPr>
        <w:t>Fachverband</w:t>
      </w:r>
      <w:r w:rsidR="00A64CA3">
        <w:rPr>
          <w:rFonts w:ascii="Arial" w:hAnsi="Arial" w:cs="Arial"/>
          <w:sz w:val="22"/>
          <w:szCs w:val="22"/>
        </w:rPr>
        <w:t>es</w:t>
      </w:r>
      <w:r w:rsidR="00A64CA3" w:rsidRPr="00A64CA3">
        <w:rPr>
          <w:rFonts w:ascii="Arial" w:hAnsi="Arial" w:cs="Arial"/>
          <w:sz w:val="22"/>
          <w:szCs w:val="22"/>
        </w:rPr>
        <w:t xml:space="preserve"> Gebäude-Klima e. V.</w:t>
      </w:r>
      <w:r w:rsidRPr="00852E4A">
        <w:rPr>
          <w:rFonts w:ascii="Arial" w:hAnsi="Arial" w:cs="Arial"/>
          <w:sz w:val="22"/>
          <w:szCs w:val="22"/>
        </w:rPr>
        <w:t xml:space="preserve"> </w:t>
      </w:r>
      <w:r w:rsidR="00A64CA3">
        <w:rPr>
          <w:rFonts w:ascii="Arial" w:hAnsi="Arial" w:cs="Arial"/>
          <w:sz w:val="22"/>
          <w:szCs w:val="22"/>
        </w:rPr>
        <w:t xml:space="preserve">sind im </w:t>
      </w:r>
      <w:hyperlink r:id="rId9" w:history="1">
        <w:r w:rsidRPr="00852E4A">
          <w:rPr>
            <w:rStyle w:val="Hyperlink"/>
            <w:rFonts w:ascii="Arial" w:hAnsi="Arial" w:cs="Arial"/>
            <w:sz w:val="22"/>
            <w:szCs w:val="22"/>
          </w:rPr>
          <w:t>Pressebereich</w:t>
        </w:r>
      </w:hyperlink>
      <w:r w:rsidRPr="00852E4A">
        <w:rPr>
          <w:rFonts w:ascii="Arial" w:hAnsi="Arial" w:cs="Arial"/>
          <w:sz w:val="22"/>
          <w:szCs w:val="22"/>
        </w:rPr>
        <w:t xml:space="preserve"> der FGK-</w:t>
      </w:r>
      <w:r w:rsidR="004B150C">
        <w:rPr>
          <w:rFonts w:ascii="Arial" w:hAnsi="Arial" w:cs="Arial"/>
          <w:sz w:val="22"/>
          <w:szCs w:val="22"/>
        </w:rPr>
        <w:t>Website</w:t>
      </w:r>
      <w:r w:rsidR="00A64CA3">
        <w:rPr>
          <w:rFonts w:ascii="Arial" w:hAnsi="Arial" w:cs="Arial"/>
          <w:sz w:val="22"/>
          <w:szCs w:val="22"/>
        </w:rPr>
        <w:t xml:space="preserve"> zu finden</w:t>
      </w:r>
      <w:r w:rsidRPr="00852E4A">
        <w:rPr>
          <w:rFonts w:ascii="Arial" w:hAnsi="Arial" w:cs="Arial"/>
          <w:sz w:val="22"/>
          <w:szCs w:val="22"/>
        </w:rPr>
        <w:t xml:space="preserve">. </w:t>
      </w:r>
    </w:p>
    <w:p w14:paraId="298A06BD" w14:textId="77777777" w:rsidR="00D56A06" w:rsidRPr="006C31BC" w:rsidRDefault="00D56A06" w:rsidP="009674F7">
      <w:pPr>
        <w:pStyle w:val="EinfAbs"/>
        <w:spacing w:line="283" w:lineRule="auto"/>
        <w:ind w:left="-284"/>
        <w:rPr>
          <w:rFonts w:ascii="Arial" w:hAnsi="Arial" w:cs="Arial"/>
          <w:sz w:val="22"/>
          <w:szCs w:val="22"/>
        </w:rPr>
      </w:pPr>
    </w:p>
    <w:p w14:paraId="2F315A0D" w14:textId="77777777" w:rsidR="00A43821" w:rsidRPr="006C31BC" w:rsidRDefault="00A43821" w:rsidP="009674F7">
      <w:pPr>
        <w:pStyle w:val="EinfAbs"/>
        <w:keepNext/>
        <w:spacing w:line="283" w:lineRule="auto"/>
        <w:ind w:left="-284"/>
        <w:rPr>
          <w:rFonts w:ascii="Arial" w:hAnsi="Arial" w:cs="Arial"/>
          <w:sz w:val="22"/>
          <w:szCs w:val="22"/>
        </w:rPr>
      </w:pPr>
      <w:r w:rsidRPr="006C31BC">
        <w:rPr>
          <w:rFonts w:ascii="Arial" w:hAnsi="Arial" w:cs="Arial"/>
          <w:b/>
          <w:bCs/>
          <w:sz w:val="22"/>
          <w:szCs w:val="22"/>
        </w:rPr>
        <w:t>Über den Fachverband Gebäude-Klima e. V.</w:t>
      </w:r>
    </w:p>
    <w:p w14:paraId="135872F3" w14:textId="77777777" w:rsidR="00033E98" w:rsidRPr="00033E98" w:rsidRDefault="00033E98" w:rsidP="009674F7">
      <w:pPr>
        <w:pStyle w:val="EinfAbs"/>
        <w:spacing w:line="283" w:lineRule="auto"/>
        <w:ind w:left="-284"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433EA008" w14:textId="77777777" w:rsidR="00033E98" w:rsidRPr="00033E98" w:rsidRDefault="00033E98" w:rsidP="009674F7">
      <w:pPr>
        <w:pStyle w:val="EinfAbs"/>
        <w:spacing w:line="283" w:lineRule="auto"/>
        <w:ind w:left="-284" w:right="-284"/>
        <w:rPr>
          <w:rFonts w:ascii="Arial" w:hAnsi="Arial" w:cs="Arial"/>
          <w:sz w:val="22"/>
          <w:szCs w:val="22"/>
        </w:rPr>
      </w:pPr>
      <w:r w:rsidRPr="00033E98">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r w:rsidR="006211FD">
        <w:rPr>
          <w:rFonts w:ascii="Arial" w:hAnsi="Arial" w:cs="Arial"/>
          <w:sz w:val="22"/>
          <w:szCs w:val="22"/>
        </w:rPr>
        <w:t xml:space="preserve">   </w:t>
      </w:r>
    </w:p>
    <w:p w14:paraId="548E1EE2" w14:textId="77777777" w:rsidR="00A43821" w:rsidRPr="006C31BC" w:rsidRDefault="00033E98" w:rsidP="009674F7">
      <w:pPr>
        <w:pStyle w:val="EinfAbs"/>
        <w:spacing w:line="283" w:lineRule="auto"/>
        <w:ind w:left="-284" w:right="-284"/>
        <w:rPr>
          <w:rFonts w:ascii="Arial" w:hAnsi="Arial" w:cs="Arial"/>
          <w:sz w:val="22"/>
          <w:szCs w:val="22"/>
        </w:rPr>
      </w:pPr>
      <w:r w:rsidRPr="00033E98">
        <w:rPr>
          <w:rFonts w:ascii="Arial" w:hAnsi="Arial" w:cs="Arial"/>
          <w:sz w:val="22"/>
          <w:szCs w:val="22"/>
        </w:rPr>
        <w:t>Darüber hinaus ist der FGK einer der wichtigen Player für die Energiewende und damit für den Klimaschutz. Die Mitglieder des Verbandes bieten energieeffiziente Produkte und Lösungen, welche den CO</w:t>
      </w:r>
      <w:r w:rsidRPr="00A50465">
        <w:rPr>
          <w:rFonts w:ascii="Arial" w:hAnsi="Arial" w:cs="Arial"/>
          <w:sz w:val="22"/>
          <w:szCs w:val="22"/>
          <w:vertAlign w:val="subscript"/>
        </w:rPr>
        <w:t>2</w:t>
      </w:r>
      <w:r w:rsidRPr="00033E98">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6B43A4FB" w14:textId="77777777" w:rsidR="00A43821" w:rsidRPr="006C31BC" w:rsidRDefault="00A43821" w:rsidP="009674F7">
      <w:pPr>
        <w:pStyle w:val="EinfAbs"/>
        <w:spacing w:line="283" w:lineRule="auto"/>
        <w:ind w:left="-284"/>
        <w:rPr>
          <w:rFonts w:ascii="Arial" w:hAnsi="Arial" w:cs="Arial"/>
          <w:sz w:val="22"/>
          <w:szCs w:val="22"/>
        </w:rPr>
      </w:pPr>
    </w:p>
    <w:p w14:paraId="1D1D2C12"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t>Pressekontakt</w:t>
      </w:r>
    </w:p>
    <w:p w14:paraId="03305DD3" w14:textId="77777777" w:rsidR="008E4303" w:rsidRPr="002163EA" w:rsidRDefault="00D3532F" w:rsidP="00B43489">
      <w:pPr>
        <w:keepNext/>
        <w:spacing w:after="0"/>
        <w:ind w:left="-284"/>
        <w:rPr>
          <w:rFonts w:ascii="Arial" w:hAnsi="Arial" w:cs="Arial"/>
          <w:color w:val="000000"/>
        </w:rPr>
      </w:pPr>
      <w:r w:rsidRPr="002163EA">
        <w:rPr>
          <w:rFonts w:ascii="Arial" w:hAnsi="Arial" w:cs="Arial"/>
          <w:color w:val="000000"/>
        </w:rPr>
        <w:t>Sabine Riethmüller</w:t>
      </w:r>
    </w:p>
    <w:p w14:paraId="718C0C5D" w14:textId="77777777" w:rsidR="008E4303" w:rsidRPr="002163EA" w:rsidRDefault="008E4303" w:rsidP="00B43489">
      <w:pPr>
        <w:keepNext/>
        <w:spacing w:after="0"/>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24C34C24"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Fachverband Gebäude-Klima e.V. </w:t>
      </w:r>
    </w:p>
    <w:p w14:paraId="734CD153" w14:textId="77777777" w:rsidR="00601F45" w:rsidRPr="00601F45" w:rsidRDefault="00601F45" w:rsidP="00601F45">
      <w:pPr>
        <w:keepNext/>
        <w:spacing w:after="0"/>
        <w:ind w:left="-284"/>
        <w:rPr>
          <w:rFonts w:ascii="Arial" w:hAnsi="Arial" w:cs="Arial"/>
          <w:color w:val="000000"/>
        </w:rPr>
      </w:pPr>
      <w:r w:rsidRPr="00601F45">
        <w:rPr>
          <w:rFonts w:ascii="Arial" w:hAnsi="Arial" w:cs="Arial"/>
          <w:color w:val="000000"/>
        </w:rPr>
        <w:t>Hoferstraße 5</w:t>
      </w:r>
    </w:p>
    <w:p w14:paraId="65074B98" w14:textId="77777777" w:rsidR="008E4303" w:rsidRPr="008E4303" w:rsidRDefault="00601F45" w:rsidP="00601F45">
      <w:pPr>
        <w:keepNext/>
        <w:spacing w:after="0"/>
        <w:ind w:left="-284"/>
        <w:rPr>
          <w:rFonts w:ascii="Arial" w:hAnsi="Arial" w:cs="Arial"/>
          <w:color w:val="000000"/>
        </w:rPr>
      </w:pPr>
      <w:r w:rsidRPr="00601F45">
        <w:rPr>
          <w:rFonts w:ascii="Arial" w:hAnsi="Arial" w:cs="Arial"/>
          <w:color w:val="000000"/>
        </w:rPr>
        <w:t>71636 Ludwigsburg</w:t>
      </w:r>
    </w:p>
    <w:p w14:paraId="63EBFC87"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6F43BFFA" w14:textId="77777777" w:rsidR="00B53E3C" w:rsidRPr="00911E25" w:rsidRDefault="00031485" w:rsidP="00B43489">
      <w:pPr>
        <w:keepNext/>
        <w:spacing w:after="0"/>
        <w:ind w:left="-284"/>
        <w:rPr>
          <w:rFonts w:ascii="Arial" w:hAnsi="Arial" w:cs="Arial"/>
          <w:color w:val="000000"/>
        </w:rPr>
      </w:pPr>
      <w:hyperlink r:id="rId10" w:history="1">
        <w:r w:rsidRPr="00323993">
          <w:rPr>
            <w:rStyle w:val="Hyperlink"/>
            <w:rFonts w:ascii="Arial" w:hAnsi="Arial" w:cs="Arial"/>
          </w:rPr>
          <w:t>presse@fgk.info</w:t>
        </w:r>
      </w:hyperlink>
    </w:p>
    <w:p w14:paraId="1528BA1B" w14:textId="77777777" w:rsidR="00FD6F39" w:rsidRPr="008E4303" w:rsidRDefault="00B53E3C" w:rsidP="00927978">
      <w:pPr>
        <w:spacing w:after="0"/>
        <w:ind w:left="-284"/>
        <w:rPr>
          <w:rFonts w:ascii="Arial" w:hAnsi="Arial" w:cs="Arial"/>
          <w:color w:val="000000"/>
          <w:lang w:val="en-US"/>
        </w:rPr>
      </w:pPr>
      <w:hyperlink r:id="rId11" w:history="1">
        <w:r w:rsidRPr="009A0EA0">
          <w:rPr>
            <w:rStyle w:val="Hyperlink"/>
            <w:rFonts w:ascii="Arial" w:hAnsi="Arial" w:cs="Arial"/>
            <w:lang w:val="en-US"/>
          </w:rPr>
          <w:t>www.fgk.de</w:t>
        </w:r>
      </w:hyperlink>
    </w:p>
    <w:p w14:paraId="56786105" w14:textId="77777777" w:rsidR="008E4303" w:rsidRPr="008E4303" w:rsidRDefault="008E4303" w:rsidP="00927978">
      <w:pPr>
        <w:spacing w:after="0"/>
        <w:ind w:left="-284"/>
        <w:rPr>
          <w:rFonts w:ascii="Arial" w:hAnsi="Arial" w:cs="Arial"/>
          <w:lang w:val="en-US"/>
        </w:rPr>
      </w:pPr>
    </w:p>
    <w:sectPr w:rsidR="008E4303" w:rsidRPr="008E4303" w:rsidSect="009674F7">
      <w:headerReference w:type="default" r:id="rId12"/>
      <w:pgSz w:w="11906" w:h="16838"/>
      <w:pgMar w:top="-4253" w:right="1418" w:bottom="85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3240A" w14:textId="77777777" w:rsidR="00730DE6" w:rsidRDefault="00730DE6" w:rsidP="00A43821">
      <w:pPr>
        <w:spacing w:after="0" w:line="240" w:lineRule="auto"/>
      </w:pPr>
      <w:r>
        <w:separator/>
      </w:r>
    </w:p>
  </w:endnote>
  <w:endnote w:type="continuationSeparator" w:id="0">
    <w:p w14:paraId="5C450B30" w14:textId="77777777" w:rsidR="00730DE6" w:rsidRDefault="00730DE6"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A56BA" w14:textId="77777777" w:rsidR="00730DE6" w:rsidRDefault="00730DE6" w:rsidP="00A43821">
      <w:pPr>
        <w:spacing w:after="0" w:line="240" w:lineRule="auto"/>
      </w:pPr>
      <w:r>
        <w:separator/>
      </w:r>
    </w:p>
  </w:footnote>
  <w:footnote w:type="continuationSeparator" w:id="0">
    <w:p w14:paraId="12B06D25" w14:textId="77777777" w:rsidR="00730DE6" w:rsidRDefault="00730DE6"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E0003" w14:textId="77777777" w:rsidR="00A43821" w:rsidRDefault="00A43821" w:rsidP="00A43821">
    <w:pPr>
      <w:pStyle w:val="Kopfzeile"/>
      <w:ind w:left="-1417"/>
    </w:pPr>
    <w:r>
      <w:rPr>
        <w:noProof/>
      </w:rPr>
      <w:drawing>
        <wp:inline distT="0" distB="0" distL="0" distR="0" wp14:anchorId="7209CCA5" wp14:editId="7CFCCE46">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418"/>
    <w:rsid w:val="00014636"/>
    <w:rsid w:val="00017963"/>
    <w:rsid w:val="00031485"/>
    <w:rsid w:val="00033E98"/>
    <w:rsid w:val="0004043E"/>
    <w:rsid w:val="00044854"/>
    <w:rsid w:val="00062DA9"/>
    <w:rsid w:val="000633B0"/>
    <w:rsid w:val="000718D1"/>
    <w:rsid w:val="00075846"/>
    <w:rsid w:val="00083581"/>
    <w:rsid w:val="00092C38"/>
    <w:rsid w:val="000A6C2D"/>
    <w:rsid w:val="000D07C0"/>
    <w:rsid w:val="000E1B4D"/>
    <w:rsid w:val="000E35A7"/>
    <w:rsid w:val="001000A8"/>
    <w:rsid w:val="00100ED2"/>
    <w:rsid w:val="0012417A"/>
    <w:rsid w:val="001322B9"/>
    <w:rsid w:val="00132721"/>
    <w:rsid w:val="001504A9"/>
    <w:rsid w:val="00157B77"/>
    <w:rsid w:val="00164A50"/>
    <w:rsid w:val="00174A64"/>
    <w:rsid w:val="00212B27"/>
    <w:rsid w:val="002163EA"/>
    <w:rsid w:val="00217A06"/>
    <w:rsid w:val="002221EF"/>
    <w:rsid w:val="00225587"/>
    <w:rsid w:val="00232BD2"/>
    <w:rsid w:val="00242D72"/>
    <w:rsid w:val="00245F19"/>
    <w:rsid w:val="00257A50"/>
    <w:rsid w:val="00260805"/>
    <w:rsid w:val="00262C5F"/>
    <w:rsid w:val="00265EEB"/>
    <w:rsid w:val="0028071E"/>
    <w:rsid w:val="00282C35"/>
    <w:rsid w:val="00284247"/>
    <w:rsid w:val="0028449D"/>
    <w:rsid w:val="00291C63"/>
    <w:rsid w:val="00292157"/>
    <w:rsid w:val="00293BE2"/>
    <w:rsid w:val="002D6486"/>
    <w:rsid w:val="002E2A1B"/>
    <w:rsid w:val="002E3028"/>
    <w:rsid w:val="002E7A2E"/>
    <w:rsid w:val="0031541C"/>
    <w:rsid w:val="003207B9"/>
    <w:rsid w:val="003300AF"/>
    <w:rsid w:val="00341F8B"/>
    <w:rsid w:val="00342A92"/>
    <w:rsid w:val="00356604"/>
    <w:rsid w:val="003577EA"/>
    <w:rsid w:val="0038432F"/>
    <w:rsid w:val="00390280"/>
    <w:rsid w:val="003913F9"/>
    <w:rsid w:val="003938B0"/>
    <w:rsid w:val="003A13BE"/>
    <w:rsid w:val="003A5A11"/>
    <w:rsid w:val="003B1293"/>
    <w:rsid w:val="003B6762"/>
    <w:rsid w:val="003C0DAA"/>
    <w:rsid w:val="003D0C76"/>
    <w:rsid w:val="003E0015"/>
    <w:rsid w:val="003E0A7F"/>
    <w:rsid w:val="003E57F7"/>
    <w:rsid w:val="003E6FF5"/>
    <w:rsid w:val="003F5251"/>
    <w:rsid w:val="004218C9"/>
    <w:rsid w:val="00426839"/>
    <w:rsid w:val="00431B62"/>
    <w:rsid w:val="00497E79"/>
    <w:rsid w:val="004B150C"/>
    <w:rsid w:val="004F224B"/>
    <w:rsid w:val="0050775D"/>
    <w:rsid w:val="00511F70"/>
    <w:rsid w:val="00513B72"/>
    <w:rsid w:val="00513C96"/>
    <w:rsid w:val="005331BE"/>
    <w:rsid w:val="00544E5E"/>
    <w:rsid w:val="00550B04"/>
    <w:rsid w:val="00555DF6"/>
    <w:rsid w:val="005569FD"/>
    <w:rsid w:val="00574A63"/>
    <w:rsid w:val="00585579"/>
    <w:rsid w:val="00592B07"/>
    <w:rsid w:val="005C24CA"/>
    <w:rsid w:val="00601F45"/>
    <w:rsid w:val="006211FD"/>
    <w:rsid w:val="00624851"/>
    <w:rsid w:val="006613BA"/>
    <w:rsid w:val="0067374D"/>
    <w:rsid w:val="006C20AE"/>
    <w:rsid w:val="006C31BC"/>
    <w:rsid w:val="006E507E"/>
    <w:rsid w:val="006F6EA7"/>
    <w:rsid w:val="006F7D32"/>
    <w:rsid w:val="00713490"/>
    <w:rsid w:val="00724614"/>
    <w:rsid w:val="00730DE6"/>
    <w:rsid w:val="007343F9"/>
    <w:rsid w:val="00766EDE"/>
    <w:rsid w:val="00777276"/>
    <w:rsid w:val="00782E62"/>
    <w:rsid w:val="00787E27"/>
    <w:rsid w:val="007C145E"/>
    <w:rsid w:val="007C3F93"/>
    <w:rsid w:val="007C46EB"/>
    <w:rsid w:val="007E22CA"/>
    <w:rsid w:val="007F365F"/>
    <w:rsid w:val="007F3CD6"/>
    <w:rsid w:val="007F549F"/>
    <w:rsid w:val="008002B0"/>
    <w:rsid w:val="00811C9F"/>
    <w:rsid w:val="00826CA4"/>
    <w:rsid w:val="00842916"/>
    <w:rsid w:val="008563D0"/>
    <w:rsid w:val="00857E2A"/>
    <w:rsid w:val="00876450"/>
    <w:rsid w:val="008879AC"/>
    <w:rsid w:val="00894545"/>
    <w:rsid w:val="00895D2E"/>
    <w:rsid w:val="008A323B"/>
    <w:rsid w:val="008B72B6"/>
    <w:rsid w:val="008E1A59"/>
    <w:rsid w:val="008E4303"/>
    <w:rsid w:val="008F40DB"/>
    <w:rsid w:val="008F4DA3"/>
    <w:rsid w:val="008F56FC"/>
    <w:rsid w:val="00901B47"/>
    <w:rsid w:val="00907567"/>
    <w:rsid w:val="00911E25"/>
    <w:rsid w:val="00927978"/>
    <w:rsid w:val="00933C35"/>
    <w:rsid w:val="00940572"/>
    <w:rsid w:val="00943415"/>
    <w:rsid w:val="0095340D"/>
    <w:rsid w:val="0095671E"/>
    <w:rsid w:val="009674F7"/>
    <w:rsid w:val="00974253"/>
    <w:rsid w:val="0097759D"/>
    <w:rsid w:val="0098074F"/>
    <w:rsid w:val="00995062"/>
    <w:rsid w:val="009B6297"/>
    <w:rsid w:val="009C5096"/>
    <w:rsid w:val="009F6025"/>
    <w:rsid w:val="009F652C"/>
    <w:rsid w:val="00A14F22"/>
    <w:rsid w:val="00A20EA2"/>
    <w:rsid w:val="00A379DE"/>
    <w:rsid w:val="00A37B8D"/>
    <w:rsid w:val="00A4216E"/>
    <w:rsid w:val="00A43821"/>
    <w:rsid w:val="00A50465"/>
    <w:rsid w:val="00A51BD0"/>
    <w:rsid w:val="00A64CA3"/>
    <w:rsid w:val="00A74FD7"/>
    <w:rsid w:val="00A755E1"/>
    <w:rsid w:val="00AB097D"/>
    <w:rsid w:val="00AB1ADE"/>
    <w:rsid w:val="00AF409E"/>
    <w:rsid w:val="00AF6712"/>
    <w:rsid w:val="00B0577F"/>
    <w:rsid w:val="00B132E8"/>
    <w:rsid w:val="00B43489"/>
    <w:rsid w:val="00B53E3C"/>
    <w:rsid w:val="00B54CB0"/>
    <w:rsid w:val="00B70D62"/>
    <w:rsid w:val="00B71C48"/>
    <w:rsid w:val="00B820AA"/>
    <w:rsid w:val="00B85FE7"/>
    <w:rsid w:val="00B942D3"/>
    <w:rsid w:val="00BA2E25"/>
    <w:rsid w:val="00BD562B"/>
    <w:rsid w:val="00BD60A8"/>
    <w:rsid w:val="00C006DE"/>
    <w:rsid w:val="00C34159"/>
    <w:rsid w:val="00C35186"/>
    <w:rsid w:val="00C365CD"/>
    <w:rsid w:val="00C40FBE"/>
    <w:rsid w:val="00C50FA0"/>
    <w:rsid w:val="00C511F3"/>
    <w:rsid w:val="00C56BC2"/>
    <w:rsid w:val="00C576FF"/>
    <w:rsid w:val="00C74740"/>
    <w:rsid w:val="00C85753"/>
    <w:rsid w:val="00CA0ABA"/>
    <w:rsid w:val="00CA1E05"/>
    <w:rsid w:val="00CD030D"/>
    <w:rsid w:val="00CD5848"/>
    <w:rsid w:val="00CD5A3C"/>
    <w:rsid w:val="00CF1ABC"/>
    <w:rsid w:val="00CF7F31"/>
    <w:rsid w:val="00D01418"/>
    <w:rsid w:val="00D03A8D"/>
    <w:rsid w:val="00D25151"/>
    <w:rsid w:val="00D31053"/>
    <w:rsid w:val="00D3532F"/>
    <w:rsid w:val="00D465AD"/>
    <w:rsid w:val="00D56A06"/>
    <w:rsid w:val="00D7060E"/>
    <w:rsid w:val="00DA33B0"/>
    <w:rsid w:val="00DB16B6"/>
    <w:rsid w:val="00DB3416"/>
    <w:rsid w:val="00DD17AC"/>
    <w:rsid w:val="00E0212E"/>
    <w:rsid w:val="00E026E7"/>
    <w:rsid w:val="00E02F9E"/>
    <w:rsid w:val="00E13B31"/>
    <w:rsid w:val="00E15734"/>
    <w:rsid w:val="00E31A8D"/>
    <w:rsid w:val="00E54045"/>
    <w:rsid w:val="00E63720"/>
    <w:rsid w:val="00E671BB"/>
    <w:rsid w:val="00E8109B"/>
    <w:rsid w:val="00E873FF"/>
    <w:rsid w:val="00E9096D"/>
    <w:rsid w:val="00E96019"/>
    <w:rsid w:val="00EB623F"/>
    <w:rsid w:val="00EE0AA8"/>
    <w:rsid w:val="00EE5597"/>
    <w:rsid w:val="00EE5835"/>
    <w:rsid w:val="00EE5BF1"/>
    <w:rsid w:val="00EF0B00"/>
    <w:rsid w:val="00EF0B13"/>
    <w:rsid w:val="00EF40B4"/>
    <w:rsid w:val="00F2105B"/>
    <w:rsid w:val="00F450F2"/>
    <w:rsid w:val="00F51F8F"/>
    <w:rsid w:val="00F52FB5"/>
    <w:rsid w:val="00F73EE2"/>
    <w:rsid w:val="00F75436"/>
    <w:rsid w:val="00F834FD"/>
    <w:rsid w:val="00F955FC"/>
    <w:rsid w:val="00FA253D"/>
    <w:rsid w:val="00FA526C"/>
    <w:rsid w:val="00FB007D"/>
    <w:rsid w:val="00FC765F"/>
    <w:rsid w:val="00FD6F39"/>
    <w:rsid w:val="00FE1401"/>
    <w:rsid w:val="00FF1D4C"/>
    <w:rsid w:val="00FF35EC"/>
    <w:rsid w:val="00FF57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15238"/>
  <w15:chartTrackingRefBased/>
  <w15:docId w15:val="{EFFD6C72-B0F3-4F04-B7D3-C061218D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after="120" w:line="240" w:lineRule="auto"/>
    </w:pPr>
    <w:rPr>
      <w:rFonts w:ascii="Arial" w:hAnsi="Arial"/>
      <w:sz w:val="20"/>
      <w:szCs w:val="20"/>
    </w:rPr>
  </w:style>
  <w:style w:type="character" w:customStyle="1" w:styleId="KommentartextZchn">
    <w:name w:val="Kommentartext Zchn"/>
    <w:basedOn w:val="Absatz-Standardschriftart"/>
    <w:link w:val="Kommentartext"/>
    <w:uiPriority w:val="99"/>
    <w:rPr>
      <w:rFonts w:ascii="Arial" w:hAnsi="Arial"/>
      <w:sz w:val="20"/>
      <w:szCs w:val="20"/>
    </w:rPr>
  </w:style>
  <w:style w:type="paragraph" w:styleId="berarbeitung">
    <w:name w:val="Revision"/>
    <w:hidden/>
    <w:uiPriority w:val="99"/>
    <w:semiHidden/>
    <w:rsid w:val="003A5A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rgy.ec.europa.eu/document/download/77a9516d-8579-4c5b-af65-236f0029e7f1_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lex.europa.eu/legal-content/DE/TXT/?uri=CELEX%3A32024L1275&amp;qid=1751897317789"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gk.de" TargetMode="External"/><Relationship Id="rId5" Type="http://schemas.openxmlformats.org/officeDocument/2006/relationships/footnotes" Target="footnotes.xml"/><Relationship Id="rId10" Type="http://schemas.openxmlformats.org/officeDocument/2006/relationships/hyperlink" Target="mailto:presse@fgk.info" TargetMode="External"/><Relationship Id="rId4" Type="http://schemas.openxmlformats.org/officeDocument/2006/relationships/webSettings" Target="webSettings.xml"/><Relationship Id="rId9" Type="http://schemas.openxmlformats.org/officeDocument/2006/relationships/hyperlink" Target="https://www.fgk.de/pressemeldung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666</Words>
  <Characters>4198</Characters>
  <Application>Microsoft Office Word</Application>
  <DocSecurity>0</DocSecurity>
  <Lines>34</Lines>
  <Paragraphs>9</Paragraphs>
  <ScaleCrop>false</ScaleCrop>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Sabine Riethmüller</cp:lastModifiedBy>
  <cp:revision>9</cp:revision>
  <dcterms:created xsi:type="dcterms:W3CDTF">2025-07-08T13:09:00Z</dcterms:created>
  <dcterms:modified xsi:type="dcterms:W3CDTF">2025-07-09T08:19:00Z</dcterms:modified>
</cp:coreProperties>
</file>